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08DE2">
      <w:pPr>
        <w:jc w:val="center"/>
        <w:rPr>
          <w:rFonts w:ascii="Times New Roman" w:hAnsi="Times New Roman" w:eastAsia="创艺简标宋" w:cs="Times New Roman"/>
          <w:sz w:val="44"/>
          <w:szCs w:val="44"/>
        </w:rPr>
      </w:pPr>
      <w:r>
        <w:rPr>
          <w:rFonts w:ascii="Times New Roman" w:hAnsi="Times New Roman" w:eastAsia="创艺简标宋" w:cs="Times New Roman"/>
          <w:sz w:val="44"/>
          <w:szCs w:val="44"/>
        </w:rPr>
        <w:t>2025年度广州市贯彻落实第二轮中央生态</w:t>
      </w:r>
    </w:p>
    <w:p w14:paraId="5CDDBACC">
      <w:pPr>
        <w:jc w:val="center"/>
        <w:rPr>
          <w:rFonts w:ascii="Times New Roman" w:hAnsi="Times New Roman" w:eastAsia="创艺简标宋" w:cs="Times New Roman"/>
          <w:sz w:val="44"/>
          <w:szCs w:val="44"/>
        </w:rPr>
      </w:pPr>
      <w:r>
        <w:rPr>
          <w:rFonts w:ascii="Times New Roman" w:hAnsi="Times New Roman" w:eastAsia="创艺简标宋" w:cs="Times New Roman"/>
          <w:sz w:val="44"/>
          <w:szCs w:val="44"/>
        </w:rPr>
        <w:t>环境保护督察报告整改情况</w:t>
      </w:r>
    </w:p>
    <w:p w14:paraId="321F6860">
      <w:pPr>
        <w:jc w:val="center"/>
        <w:rPr>
          <w:rFonts w:ascii="Times New Roman" w:hAnsi="Times New Roman" w:eastAsia="黑体" w:cs="Times New Roman"/>
          <w:sz w:val="44"/>
          <w:szCs w:val="44"/>
        </w:rPr>
      </w:pPr>
    </w:p>
    <w:p w14:paraId="0F55A3C2">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广东省有些地市和部门认识不够到位，措施不够有力，生态环境保护抓得不够紧，推得不够实，在统筹协调、责任担当等方面还存在差距。有些市县思想认识不够到位，对习近平生态文明思想学习领会还不够深入，贯彻落实缺少方法，没有真正把生态环境保护作为高质量发展的应有之义和重要内容，工作落实</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时冷时热</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对标中央要求，对照人民期待，对标高质量发展要求仍有差距，美丽河湖和美丽海湾保护与建设还存在一些突出问题，部分地方和领域生态环境安全保障不力，工作力度仍需进一步加大，一些突出生态环境问题亟待解决。（省整改方案整改措施清单第一项）</w:t>
      </w:r>
    </w:p>
    <w:p w14:paraId="2BBEF916">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整改时限：立行立改，长期坚持</w:t>
      </w:r>
    </w:p>
    <w:p w14:paraId="5A0881A8">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33719247">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全面践行习近平生态文明思想。市委、市政府坚持以习近平新时代中国特色社会主义思想为指导，深入贯彻党的二十大和二十届历次全会精神，全面贯彻习近平生态文明思想，认真贯彻落实全国生态环境保护工作会议精神，锚定</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排头兵、领头羊、火车头</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标高追求，以打造美丽中国城市样板为统领，发挥好督察促进高质量发展的</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助推器</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作用，将生态环境保护作为重要任务在粤港澳大湾区建设、</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百县千镇万村高质量发展工程</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、绿美广州生态建设等过程中一体推动落实。</w:t>
      </w:r>
    </w:p>
    <w:p w14:paraId="619AE141">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全面加强党对生态环境保护工作的领导。市委、市政府主要负责同志自觉扛起生态环境保护政治责任，分别担任市生态环境保护委员会第一主任、主任，带头督办番禺区水环境治理等重难点问题。市人大常委会、市政协等分别加强生态环境领域的立法、监督和协商议政工作，合力推动解决生态环境突出问题。各级各部门各司其职，协同推进督察反馈问题整改落实，形成齐抓共管工作格局。</w:t>
      </w:r>
    </w:p>
    <w:p w14:paraId="6FDBA8FA">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严格落实目标考核和责任追究。将生态环境保护督察整改任务完成情况等生态环境领域考核指标纳入市辖区综合考核，强化生态环境保护重点工作的靶向性考核，以考促干、以考促效，推动以高水平生态环境保护支撑高质量发展。严格党政领导干部生态环境损害责任追究。连续六年在全省环境保护责任暨深入打好污染防治攻坚战成效考核中获评优秀。</w:t>
      </w:r>
    </w:p>
    <w:p w14:paraId="249A1645">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（四）深入推进美丽河湖和美丽海岸建设。以持续改善水生态环境质量为核心，深入实施《广州市</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十四五</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用水总量和强度管控方案》，对珠江（广州段）等水体开展水生态环境调查评估，每季度开展黑臭河涌动态评估，全力实施地表水考核断面达标攻坚；大力推进近岸海域污染治理，落实《广州市珠江口邻近海域综合治理攻坚战实施方案》，组织开展海洋综合执法专项行动，加强红树林生态保护监管。2025年，我市水环境质量持续改善，全市20个地表水国考、省考断面水质全面达标，地表水水质优良断面比例连续两年达到100%，劣V类水体断面比例保持清零；500条重点区域一级支流基本消除劣</w:t>
      </w:r>
      <w:r>
        <w:rPr>
          <w:rFonts w:hint="eastAsia" w:ascii="宋体" w:hAnsi="宋体" w:eastAsia="宋体" w:cs="宋体"/>
          <w:sz w:val="32"/>
          <w:szCs w:val="32"/>
        </w:rPr>
        <w:t>Ⅴ</w:t>
      </w:r>
      <w:r>
        <w:rPr>
          <w:rFonts w:ascii="Times New Roman" w:hAnsi="Times New Roman" w:eastAsia="仿宋_GB2312" w:cs="Times New Roman"/>
          <w:sz w:val="32"/>
          <w:szCs w:val="32"/>
        </w:rPr>
        <w:t>类。已完成治理的147条黑臭河涌均保持不黑不臭标准。圆满完成100个市级美丽河湖建设任务。以全省第一、全国第三的成绩申报2025年中央财政美丽河湖保护与建设项目，获得中央及省级资金支持。</w:t>
      </w:r>
    </w:p>
    <w:p w14:paraId="3FA7B82B">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持续强化环境风险防控。以自然保护地监管为重点，实施常态化卫片执法，并通过专项行动和常态监管相结合，强化自然保护地监管；深入开展固体废物环境风险隐患专项排查整治行动；持续抓好环境应急管理工作，不断加强突发环境事件风险防控能力建设。</w:t>
      </w:r>
    </w:p>
    <w:p w14:paraId="3DC82C33">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有的地方和部门对粤北生态屏障缺乏基本认识，没有把生态保护和环境安全摆到应有的位置和高度，对一些生态修复难度较大的工作存在畏难情绪、推诿思想。个别地方面对保护地内的生态破坏问题，没有积极主动去解决，而是通过调整保护地来应对。（省整改方案整改措施清单第二项）</w:t>
      </w:r>
    </w:p>
    <w:p w14:paraId="3DB3AF89">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整改时限：立行立改，长期坚持</w:t>
      </w:r>
    </w:p>
    <w:p w14:paraId="02904760">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40A992CC">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（一）强化自然保护地监管。按照</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以自然恢复为主、人工措施为辅</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的思路，对89个自然保护地约10.9万公顷面积主要实行自然封育；实施《广州市自然保护地规划（2023－2035年）》，组织开展自然保护地专项督查行动及违规侵占国家湿地公园等自然保护地问题排查整治专项行动，通过专项行动和常态监管相结合，强化自然保护地监管。</w:t>
      </w:r>
    </w:p>
    <w:p w14:paraId="6D474757">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大力推进生态保护修复。按照《广州山水林田湖草生态修复示范区建设实施方案（2021－2025年）》《广州市国土空间生态修复规划（2021－2035年）》等文件要求，大力推进生态保护修复，做好矿山生态修复，截至2025年底，修复历史遗留矿山生态10.41公顷，超额完成省下达的</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十四五</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任务。</w:t>
      </w:r>
    </w:p>
    <w:p w14:paraId="487EF52D">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项目盲目上马冲动仍然存在。2021年广东省能源消费增量控制目标为1610万吨标准煤，能耗强度下降目标为3.08%，实际上半年能耗增量已超过2600万吨标准煤，超出年度控制目标61.5%；能耗强度也不降反升，幅度超过3.6%，被国家有关部门一级预警。（省整改方案整改措施清单第五项）</w:t>
      </w:r>
    </w:p>
    <w:p w14:paraId="78E597E2">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整改时限：2025年年底前</w:t>
      </w:r>
    </w:p>
    <w:p w14:paraId="64E0302F">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3C919A68">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（一）组织实施能耗双控。实施我市进一步做好能源消费强度和总量双控工作实施方案及能源消费强度和总量</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双控</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年度工作要点，制定能耗</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双控</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工作具体措施。</w:t>
      </w:r>
    </w:p>
    <w:p w14:paraId="0AAB4581">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（二）开展日常节能监察。截至2025年底，累计对666家用能单位开展节能监察，实现对市级重点用能单位节能监察全覆盖。</w:t>
      </w:r>
    </w:p>
    <w:p w14:paraId="38723B28">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（三）推进绿色电力证书交易。截至2025年底，全市净购入2025年省外绿证183.7亿千瓦时，交易量已纳入能耗双控目标考核的核算范围。根据省能源局反馈，我市</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十四五</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能耗强度下降率达到14.5%，全面完成目标任务。</w:t>
      </w:r>
    </w:p>
    <w:p w14:paraId="5B5970BC">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四、一些地方和部门对</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项目上马把关不严，节能审查监管责任缺位。2020年以来，全省121个在建或建成的用能1万吨标准煤以上</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项目中，未经节能审查的达42个，占比34.7%。2021年3月，广东省还集中通过5个石化化工项目的节能审查，新增能耗1376万吨标准煤。其中，茂名石化炼油转型升级及乙烯提质改造项目被国家有关部门指出问题后，广东省能源局才撤销其节能审查意见。（省整改方案整改措施清单第六项）</w:t>
      </w:r>
    </w:p>
    <w:p w14:paraId="37381BBC">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整改时限：2023年年底前</w:t>
      </w:r>
    </w:p>
    <w:p w14:paraId="25C79F30">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03863E2D">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（一）全面梳理排查</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项目。对</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项目实行清单化、台账式管理，每季度全面梳理我市存量、在建、拟建</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项目能源消费及产出情况和主要产品产能能效情况，加强动态监管，做好节能形势分析研判，完善能源消费总量和强度调控。</w:t>
      </w:r>
    </w:p>
    <w:p w14:paraId="4F18D175">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（二）从严落实</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项目节能审查。印发进一步做好固定资产投资项目节能审查工作的通知，严格落实</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项目节能审查和节能监察工作，坚决拿下不符合要求的低水平</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项目；对未完成能耗强度下降进度目标和目标完成形势严峻的区，实行</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两高</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项目缓批限批或能耗等量减量替代。</w:t>
      </w:r>
    </w:p>
    <w:p w14:paraId="7ED6D76A">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五、农村环境基础设施建设投入虽有所增加，但短板依然明显，农村环境保护</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十三五</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规划部署的生活污水收集任务未完成，建设推进的乡镇农村污水处理设施中，管网不配套、运行不正常、设施闲置坏损等现象较为普遍。（省整改方案整改措施清单第十二项）</w:t>
      </w:r>
    </w:p>
    <w:p w14:paraId="71D01EBC">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整改时限：2025年年底前</w:t>
      </w:r>
    </w:p>
    <w:p w14:paraId="24C29FC1">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5644B0A0">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（一）已完成《广东省农村环境保护</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十三五</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规划》提出的</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到2018年底，珠三角核心区基本实现农村污水处理设施全覆盖</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工作任务，实现了全市自然村生活污水治理全覆盖。</w:t>
      </w:r>
    </w:p>
    <w:p w14:paraId="72F453C3">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持续推进涉农区农污治理提升，为进一步提升污水收集处理设施运行效能，在2021年全市已完成镇级污水管网建设147公里、农村生活污水管（渠）建设122.8公里，自然村生活污水治理提升98个的基础上，2022－2025年，全市新增完成自然村生活污水治理提升任务120个。</w:t>
      </w:r>
    </w:p>
    <w:p w14:paraId="774CD6C6">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六、截至2021年8月，全省仍有276万农村人口未实现集中供水，河源、清远、茂名仅完成农村集中供水任务的16.8%、32.5%、34.5%。（省整改方案整改措施清单第十三项）</w:t>
      </w:r>
    </w:p>
    <w:p w14:paraId="06D23EAF">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整改时限：2022年年底前</w:t>
      </w:r>
    </w:p>
    <w:p w14:paraId="638CFE75">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0D76A722">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（一）实施农村供水设施改造。全市已实现农村集中供水全覆盖，农村自来水普及率达到100%，为进一步提高农村供水保障能力，2022年按计划完成9条村的老化供水设施改造工作。</w:t>
      </w:r>
    </w:p>
    <w:p w14:paraId="47288321">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开展饮用水水源地水质监测。2021－2022年，持续开展饮用水水源地水质监测、保护区标志设置更新及环境问题排查整治工作，对发现的问题均组织完成立行立改，农村（乡镇及以下）集中式饮用水水源地水质均100%达标。</w:t>
      </w:r>
    </w:p>
    <w:p w14:paraId="6A9E347A">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一些部门和地方在处理生态环境管理新问题上责任意识不强，统筹不力，魄力不足。近年来，珠三角河道非法洗砂洗泥行为日益猖獗，污染河道水质，改变河床形态，威胁行洪和航道安全，对水生生物栖息繁衍带来不良影响。省直有关部门对此重视不够，主动作为不足，既没有充分行使各部门现有职能严厉打击，也没有研究如何加强规范引导。有关地市和部门虽然多次开展联合执法，但执法效果欠佳，监管力度不够，甚至出现作业船只和监管部门</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打游击</w:t>
      </w:r>
      <w:r>
        <w:rPr>
          <w:rFonts w:hint="eastAsia" w:ascii="仿宋_GB2312" w:hAnsi="Times New Roman" w:eastAsia="仿宋_GB2312" w:cs="Times New Roman"/>
          <w:sz w:val="32"/>
          <w:szCs w:val="32"/>
        </w:rPr>
        <w:t>”</w:t>
      </w:r>
      <w:r>
        <w:rPr>
          <w:rFonts w:ascii="Times New Roman" w:hAnsi="Times New Roman" w:eastAsia="黑体" w:cs="Times New Roman"/>
          <w:sz w:val="32"/>
          <w:szCs w:val="32"/>
        </w:rPr>
        <w:t>现象，非法洗砂洗泥未能得到有效遏制。（省整改方案整改措施清单第十六项）</w:t>
      </w:r>
    </w:p>
    <w:p w14:paraId="3B110876">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整改时限：2023年年底前</w:t>
      </w:r>
    </w:p>
    <w:p w14:paraId="1EE5A66F">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7FED21AC">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加强打击非法洗砂洗泥工作组织领导。成立市打击非法洗砂洗泥工作领导小组，由分管生态环境工作的市领导同志担任组长，统筹组织打击出海水道内非法洗砂洗泥行为；对照《广东省出海水道与河道水域非法洗砂洗泥问题整改工作方案》，制定我市具体整改工作分工，确保日常监管责任落实到位。</w:t>
      </w:r>
    </w:p>
    <w:p w14:paraId="1AAFBCFF">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持续强化全市洗砂日常监管。加强建筑废弃物监管，进一步强化对全市22个建筑废弃物水上运输临时装卸码头事中事后监管，每月组织开展建筑废弃物水上运输联合执法行动。转发广东省洗砂管理办法及明确相关工作安排，确保洗砂日常监管执法责任落实到位，自督察整改以来，每季度向省河长办报送整改事项落实情况，暂未发现我市河道水域内存在泡洗海砂、山砂、建筑垃圾、淤泥各类型的情况。</w:t>
      </w:r>
    </w:p>
    <w:p w14:paraId="15F16985">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组织打击非法洗砂洗泥违法行为联合执法。开展市、区打击非法洗砂洗泥行为联合执法行动，其中市层面联合执法行动由市河长办（市水务局）、市规划和自然资源局、市生态环境局、市城市管理综合执法局等市直单位分别牵头组织，区层面由黄埔、番禺、南沙、增城等4个与海域相接的区分别组织。截至2023年底，已累计开展市区两级打击非法洗砂洗泥行为联合执法行动264次；同时，联合东莞、中山、佛山等相邻城市在东江北干流、洪奇沥水道等交界水域开展联合执法行动5次，参与省河长办等省有关单位组织的省层面联合执法行动3次，暂未发现我市出海水道水域内存在非法洗砂洗泥行为。</w:t>
      </w:r>
    </w:p>
    <w:p w14:paraId="6553D5C0">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（四）设置陆地海砂淡化场。确定陆地海砂淡化场选址4处（南沙、番禺各2处），截至2023年底，已完成试运行调试具备生产条件3处，正在实施设备安装调试1处。</w:t>
      </w:r>
    </w:p>
    <w:p w14:paraId="1B98AD67">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广州市番禺区雨天污水溢流问题突出，石岗西涌发黑发臭，氨氮浓度为13.9毫克/升，属轻度黑臭；大量污水、垃圾直排雁洲河河道，COD浓度为334毫克/升，臭味扑鼻，群众反映强烈。（省整改方案整改措施清单第二十五项）</w:t>
      </w:r>
    </w:p>
    <w:p w14:paraId="4D1FB3CA">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整改时限：2022年年底前</w:t>
      </w:r>
    </w:p>
    <w:p w14:paraId="7ADD6370">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3D04D047">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（一）已完成石岗西涌合流渠箱清污分流整治，石岗西涌合流渠箱主渠截污闸及两条合流管的小截污闸已开闸。</w:t>
      </w:r>
    </w:p>
    <w:p w14:paraId="13411988">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（二）已完成雁洲涌合流渠箱清污分流整治，雁洲涌富怡路截污闸、坑头村1#、2#闸均已开闸。坑头村临河村居雨污分流改造工程已实现主体工程完工，共建设排水管（沟）1400米。</w:t>
      </w:r>
    </w:p>
    <w:p w14:paraId="6513A536">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（三）严格落实河涌保洁和常态化巡河机制。持续开展石岗西涌、雁洲涌河涌保洁和日常巡河工作，及时清理巡河过程中发现的沿河垃圾、水面漂浮物，保持河涌水面和河岸干净整洁。</w:t>
      </w:r>
    </w:p>
    <w:p w14:paraId="71F80311">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九、珠三角地区工业集聚区密布，一些集聚区管理薄弱，污染问题突出。（省整改方案整改措施清单第二十六项）</w:t>
      </w:r>
    </w:p>
    <w:p w14:paraId="0D9F0F5B">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整改时限：立行立改，长期坚持</w:t>
      </w:r>
    </w:p>
    <w:p w14:paraId="1AC887B2">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407D06DF">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（一）强化</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三线一单</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刚性约束。严格工业园区（工业集聚区）生态环境保护准入条件，积极推动</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三线一单</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成果落地应用，将</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三线一单</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成果纳入市</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多规合一</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平台，并运用于项目环评审批、规划环评审查、联审决策等方面。</w:t>
      </w:r>
    </w:p>
    <w:p w14:paraId="6336C6DE">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加强集聚区环境管理工作。实施《广州市进一步加强工业集聚区环境管理工作方案》，组织各区对辖内工业集聚区开展全面排查；按照《广州市工业园区生态环境监督管理工作手册》《广州市工业园区生态环境监督管理规程》《广州市工业园区生态环境监督管理指导意见》等文件要求，持续做好工业集聚区环境监管，进一步提高工业聚集区环境管理效能。</w:t>
      </w:r>
    </w:p>
    <w:p w14:paraId="6598A417">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（三）推动完善集聚区环境基础设施。提升工业集聚区污水收集处理水平，要求集聚区内企业废水排入集中污水处理设施处理达标后才能排放。</w:t>
      </w:r>
    </w:p>
    <w:p w14:paraId="33E71660">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加强工业集聚区环境质量监测。推动各区结合工业集聚区大气污染排放特征因子安装监控设施，开展VOCs走航监测，对集聚区内环境空气质量进行监控；建立市级以上工业集聚区周边河涌、湖泊清单并定期组织开展水质监测；配合省生态环境厅开展典型行业企业用地及周边土壤污染状况调查。</w:t>
      </w:r>
    </w:p>
    <w:p w14:paraId="50566040">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（五）加大生态环境执法监管力度。深入开展污染源日常环境监管</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双随机</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抽查，强化重点行业企业环境监督管理，严厉打击环境违法行为。</w:t>
      </w:r>
    </w:p>
    <w:p w14:paraId="702CC6D1">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（六）推动工业集聚区环境风险管控和应急保障能力建设。一是实施环境风险源分级分类管控，组织开展风险隐患排查整治。二是结合广州市安全生产</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一盘棋</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应急响应机制，组织园区管理机构举一反三开展工业园区突发环境事件风险隐患排查整治，并现场督导整治落实情况，开展环境应急演练培训，完善环境应急物资保障建设，不断提升环境应急能力。</w:t>
      </w:r>
    </w:p>
    <w:p w14:paraId="0DD24D5E">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推动村镇工业集聚区整治提升。完成村镇工业集聚区情况摸查，建立村镇工业集聚区台账并动态更新，同时，以试点项目为引领，鼓励各区推进改造提升工作，制定专项政策，在土地规划管理、产业导入等方面给予支持，遴选推进27个试点项目实施，做好优质产业园区运营商与试点项目对接，引导试点项目建设土地节约、产业集聚、特色鲜明的园区，广州设计之都获选省村镇工业集聚区升级改造示范项目。</w:t>
      </w:r>
    </w:p>
    <w:p w14:paraId="77C59FDD">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（八）常态化开展</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散乱污</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场所清理整治。2022－2025年累计完成清理整治</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散乱污</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场所超5250个，其中关停取缔类超3600个，整合搬迁类超450个，升级改造类超1200个。</w:t>
      </w:r>
    </w:p>
    <w:p w14:paraId="45D26814">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海水养殖尾水污染量大面广。2020年全省海水养殖面积大，大量养殖尾水直排，污染严重，清塘时污染更为突出。2019年以来全省各地陆续发布养殖规划，探索推进尾水治理试点工作，但养殖尾水污染问题仍未有效解决，亟需有力有序加快推进。（省整改方案整改措施清单第三十三项）</w:t>
      </w:r>
    </w:p>
    <w:p w14:paraId="70173D86">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整改时限：2025年年底前</w:t>
      </w:r>
    </w:p>
    <w:p w14:paraId="32C12903">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79625186">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（一）加强养殖证持证情况检查。2022－2025年，检查渔业养殖场所5028家次，均未发现在全民所有水域未依法取得养殖证从事养殖生产的行为。</w:t>
      </w:r>
    </w:p>
    <w:p w14:paraId="3A67A269">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（二）推进实施养殖池塘升级改造。按照《广州市养殖池塘升级改造绿色发展三年行动方案（2022－2024年）》要求，完成全市20万亩水产养殖池塘升级改造和尾水治理任务。</w:t>
      </w:r>
    </w:p>
    <w:p w14:paraId="7FEDADDA">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（三）开展水产健康和生态养殖示范创建。制定水产绿色健康养殖技术推广</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五大行动</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年度实施方案，部署养殖尾水治理模式推广行动等专项行动计划。累计成功创建国家级水产健康养殖和生态养殖示范区3个、省级21个。全市省级水产健康和生态养殖示范区面积覆盖率已超85%。</w:t>
      </w:r>
    </w:p>
    <w:p w14:paraId="4CC99982">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一、全省国家级和省级自然保护区核心区、缓冲区内小水电站共385座，广东省2017年就开始摸排保护区内小水电站底数，但直到2021年7月，才制定实施方案。南岭国家级自然保护区核心区、缓冲区内小水电站多达80座，当地截至督察进驻时尚未制定清理整改方案；龙牙峡水产种质资源省级自然保护区核心区、缓冲区内共有5座小水电站，2018年以来当地政府和有关部门默许甚至支持小水电站扩容改造。（省整改方案整改措施清单第四十项）</w:t>
      </w:r>
    </w:p>
    <w:p w14:paraId="6E442D7E">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整改时限：2025年年底前</w:t>
      </w:r>
    </w:p>
    <w:p w14:paraId="42BF874A">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3B39BCDF">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（一）建立小水电清理整改工作制度。按照《广州市小水电清理整改工作实施方案》，由市政府主要负责同志担任召集人，统筹推进全市小水电清理整改工作。</w:t>
      </w:r>
    </w:p>
    <w:p w14:paraId="14554B81">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（二）积极推进小水电站退出整改。截至2025年底，安山一级电站、安山二级电站、古田电站、黄草岗电站已完成退出工作；经省政府同意，长滩、平山2座小水电站由退出类调整为整改类电站，可不退出。</w:t>
      </w:r>
    </w:p>
    <w:p w14:paraId="6531A81C">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二、部分地市渗滤液处置短板突出。全省积存垃圾渗滤液高达166万吨，一些填埋场渗滤液处置设施运行不正常，偷排漏排、超标排放问题突出，有的甚至在在线监控上弄虚作假。2018年以来，全省18家垃圾填埋场因设施运行不正常、废水超标排放问题被屡次查处。（省整改方案整改措施清单第四十六项）</w:t>
      </w:r>
    </w:p>
    <w:p w14:paraId="1BC0F423">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整改时限：2023年年底前</w:t>
      </w:r>
    </w:p>
    <w:p w14:paraId="4E029499">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0F35DF38">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（一）实现填埋场渗滤液全量处理。全市生活垃圾焚烧和生化处理能力达3.6万吨/日，从源头上控制垃圾填埋影响。全市8座填埋场均配套有渗滤液处理设施，处理能力达6015吨/日，满足实际处理需求。</w:t>
      </w:r>
    </w:p>
    <w:p w14:paraId="71D2F54F">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（二）强化渗滤液处置设施监督检查。对设施数量、运行情况、更新或淘汰情况实施跟踪管理，将填埋场渗滤液处理纳入日常监管和季度检查内容。</w:t>
      </w:r>
    </w:p>
    <w:p w14:paraId="6AEEC86E">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三、一些填埋场地下水和周边水体受到污染，全省113个垃圾填埋场中有26个存在地下水超标问题。清远市8个垃圾填埋场中就有5个地下水超标，其中佛冈县垃圾填埋场2020年3月填埋区防渗膜破损，地下水受到严重污染，此次督察进驻时，氨氮浓度仍高达47.6毫克/升，超地下水环境质量</w:t>
      </w:r>
      <w:r>
        <w:rPr>
          <w:rFonts w:hint="eastAsia" w:ascii="宋体" w:hAnsi="宋体" w:eastAsia="宋体" w:cs="宋体"/>
          <w:sz w:val="32"/>
          <w:szCs w:val="32"/>
        </w:rPr>
        <w:t>Ⅲ</w:t>
      </w:r>
      <w:r>
        <w:rPr>
          <w:rFonts w:ascii="Times New Roman" w:hAnsi="Times New Roman" w:eastAsia="黑体" w:cs="Times New Roman"/>
          <w:sz w:val="32"/>
          <w:szCs w:val="32"/>
        </w:rPr>
        <w:t>类标准94.2倍。（省整改方案整改措施清单第四十九项）</w:t>
      </w:r>
    </w:p>
    <w:p w14:paraId="5CFA2175">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整改时限：2025年年底前</w:t>
      </w:r>
    </w:p>
    <w:p w14:paraId="31F81983">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19247C87">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（一）分类施策推动在用填埋场地下水环境整治工作。组织填埋场开展防渗膜渗漏监测，未发现渗漏情况；委托第三方单位开展填埋场地下水污染状况调查分析，对超标的监测井及周边地下水进行抽排处置。</w:t>
      </w:r>
    </w:p>
    <w:p w14:paraId="0269B0F9">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（二）严格规范填埋场作业管理。加强在用填埋场覆膜巡检和维护，及时修复破损覆盖层，有效减少雨水进入堆体，控制渗滤液产生量。</w:t>
      </w:r>
    </w:p>
    <w:p w14:paraId="7928BDE3">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加强垃圾填埋场监督检查。2024年以来，组织专项检查130次，通过现场检查、听取汇报、检查台账等方式重点督办填埋场整改工作进度，掌握企业整改方案和存在问题，给出合理指导建议，确保整改工作完成到位。</w:t>
      </w:r>
    </w:p>
    <w:p w14:paraId="6F1190F2">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四、固体废物处置能力亟待加强。2018年以来，广东省重点部署了39个危险废物处置项目建设，其中中山市绿色工业服务等6个危险废物处置项目截至督察进驻时尚未建成，进度滞后。已建成的33个目前也尚未发挥应有效用。全省危险废物处置能力结构性、区域性失衡仍未完全解决，生活垃圾焚烧飞灰、铝灰渣处置能力不足，贮存量分别高达6.7万吨、7.1万吨。（省整改方案整改措施清单第五十一项）</w:t>
      </w:r>
    </w:p>
    <w:p w14:paraId="2F4FECCE">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整改时限：2025年年底前</w:t>
      </w:r>
    </w:p>
    <w:p w14:paraId="63163818">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095E2832">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时完成危险废物处置设施建设任务。广州市废弃物安全处置中心二期物化项目（15万吨/年）已于2021年12月取得危险废物经营许可证；广州东部工业固废处置项目（7.8万吨/年）已于2021年12月底前建成，并于2022年3月取得危险废物经营许可证，两个项目均已投产运行，截至2025年底，全市具备危险废物利用处置能力82.93万吨/年，另有危险废物收集能力46.16万吨/年，总体满足需求。</w:t>
      </w:r>
    </w:p>
    <w:p w14:paraId="5BD218BC">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（二）督促铝压延加工企业做好废铝灰渣处置工作。2022－2025年，现场检查废铝灰渣产生单位116家次，指导企业落实废铝灰渣贮存、转移过程中的环境污染防治措施。</w:t>
      </w:r>
    </w:p>
    <w:p w14:paraId="1D387C66">
      <w:pPr>
        <w:overflowPunct w:val="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五、非法转移倾倒仍时有发生，2018年以来，全省涉危险废物倾倒案件400余起，其中跨省倾倒26起，仅肇庆市就发生跨省转移倾倒11起，倾倒危险废物765吨。一些危险废物经营单位高价接收危险废物却不规范处置，广东恒兆环保公司将东莞市委托处置的316吨危险废物，分散倾倒在湖南省宜章县，造成6处12亩山地污染。（省整改方案整改措施清单第五十二项）</w:t>
      </w:r>
    </w:p>
    <w:p w14:paraId="2A56E0B2">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整改时限：立行立改，长期坚持</w:t>
      </w:r>
    </w:p>
    <w:p w14:paraId="3A652F67">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整改进展：已完成。</w:t>
      </w:r>
    </w:p>
    <w:p w14:paraId="1D36D735">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（一）严厉打击危险废物环境违法行为。2022－2025年，市生态环境局处罚涉危险废物案件231宗，移送涉危险废物刑事案件22宗。</w:t>
      </w:r>
    </w:p>
    <w:p w14:paraId="43FC0A1A">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督促危险废物产生和经营单位落实主体责任。制定年度危险废物规范化环境管理评估工作方案，对危险废物产生和经营单位开展危险废物规范化环境管理检查，2022－2025年，累计开展规范化评估检查727家次。</w:t>
      </w:r>
    </w:p>
    <w:p w14:paraId="5135EEAA">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（三）依法办理危险废物经营许可证业务。2022－2025年，核发许可证48张，全市危险废物收集利用处置能力大幅提升，已满足本市处置需求。</w:t>
      </w:r>
    </w:p>
    <w:p w14:paraId="73CF2466">
      <w:pPr>
        <w:overflowPunct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（四）组织开展固体废物环境管理专项培训。2022－2025年，组织监管人员、危险废物产生和经营单位等开展固体废物环境管理各类培训9次。</w:t>
      </w:r>
    </w:p>
    <w:p w14:paraId="4B44F9B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舒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1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2026-03-30T09:28:19Z</dcterms:created>
  <dc:creator>Gary Chu</dc:creator>
  <cp:lastModifiedBy>Gary Chu</cp:lastModifiedBy>
  <dcterms:modified xsi:type="dcterms:W3CDTF">2026-03-30T09:28:33Z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eyJoZGlkIjoiZDA3MGRlNmNmNzhkODMwNzI5MmI2Zjc3MzVlMmIxZTkiLCJ1c2VySWQiOiI2MDEzMTUwMTkifQ==</vt:lpwstr>
  </property>
  <property fmtid="{D5CDD505-2E9C-101B-9397-08002B2CF9AE}" pid="4" name="ICV">
    <vt:lpwstr>B93D6183D79D4EEEB54941C94342AD18_12</vt:lpwstr>
  </property>
</Properties>
</file>